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884BF" w14:textId="560FCAC7" w:rsidR="00C27DAC" w:rsidRPr="00C27DAC" w:rsidRDefault="00C27DAC" w:rsidP="00C27DAC">
      <w:pPr>
        <w:shd w:val="clear" w:color="auto" w:fill="FFFFFF"/>
        <w:spacing w:after="120"/>
        <w:jc w:val="center"/>
        <w:rPr>
          <w:rFonts w:asciiTheme="minorHAnsi" w:eastAsia="Times New Roman" w:hAnsiTheme="minorHAnsi"/>
          <w:b/>
          <w:bCs/>
          <w:color w:val="222222"/>
          <w:sz w:val="28"/>
          <w:szCs w:val="28"/>
          <w:lang w:eastAsia="en-CA"/>
        </w:rPr>
      </w:pPr>
      <w:r w:rsidRPr="00C27DAC">
        <w:rPr>
          <w:rFonts w:asciiTheme="minorHAnsi" w:eastAsia="Times New Roman" w:hAnsiTheme="minorHAnsi"/>
          <w:b/>
          <w:bCs/>
          <w:color w:val="222222"/>
          <w:sz w:val="28"/>
          <w:szCs w:val="28"/>
          <w:lang w:eastAsia="en-CA"/>
        </w:rPr>
        <w:t>Open Letter from FOCA &amp; CELA on drinking water January 2022</w:t>
      </w:r>
    </w:p>
    <w:p w14:paraId="47438FC9" w14:textId="77777777" w:rsidR="00C27DAC" w:rsidRDefault="00C27DAC" w:rsidP="00C27DAC">
      <w:pPr>
        <w:shd w:val="clear" w:color="auto" w:fill="FFFFFF"/>
        <w:spacing w:after="120"/>
        <w:rPr>
          <w:rFonts w:asciiTheme="minorHAnsi" w:eastAsia="Times New Roman" w:hAnsiTheme="minorHAnsi"/>
          <w:color w:val="222222"/>
          <w:szCs w:val="24"/>
          <w:lang w:eastAsia="en-CA"/>
        </w:rPr>
      </w:pPr>
    </w:p>
    <w:p w14:paraId="0CA01227" w14:textId="439F09B0" w:rsidR="00C27DAC" w:rsidRPr="00C27DAC" w:rsidRDefault="00C27DAC" w:rsidP="00C27DAC">
      <w:pPr>
        <w:shd w:val="clear" w:color="auto" w:fill="FFFFFF"/>
        <w:spacing w:after="120"/>
        <w:rPr>
          <w:rFonts w:asciiTheme="minorHAnsi" w:eastAsia="Times New Roman" w:hAnsiTheme="minorHAnsi"/>
          <w:color w:val="222222"/>
          <w:szCs w:val="24"/>
          <w:lang w:eastAsia="en-CA"/>
        </w:rPr>
      </w:pPr>
      <w:r w:rsidRPr="00C27DAC">
        <w:rPr>
          <w:rFonts w:asciiTheme="minorHAnsi" w:eastAsia="Times New Roman" w:hAnsiTheme="minorHAnsi"/>
          <w:color w:val="222222"/>
          <w:szCs w:val="24"/>
          <w:lang w:eastAsia="en-CA"/>
        </w:rPr>
        <w:t>Ontario’s drinking water protection framework has correctly been lauded as exceptional. However, improved implementation and sustained investment is needed now to extend protection beyond municipal systems and ensure safe drinking water for all.</w:t>
      </w:r>
    </w:p>
    <w:p w14:paraId="73E5254D" w14:textId="77777777" w:rsidR="00C27DAC" w:rsidRPr="00C27DAC" w:rsidRDefault="00C27DAC" w:rsidP="00C27DAC">
      <w:pPr>
        <w:shd w:val="clear" w:color="auto" w:fill="FFFFFF"/>
        <w:spacing w:after="120"/>
        <w:rPr>
          <w:rFonts w:asciiTheme="minorHAnsi" w:eastAsia="Times New Roman" w:hAnsiTheme="minorHAnsi"/>
          <w:color w:val="222222"/>
          <w:szCs w:val="24"/>
          <w:lang w:eastAsia="en-CA"/>
        </w:rPr>
      </w:pPr>
      <w:r w:rsidRPr="00C27DAC">
        <w:rPr>
          <w:rFonts w:asciiTheme="minorHAnsi" w:eastAsia="Times New Roman" w:hAnsiTheme="minorHAnsi"/>
          <w:color w:val="222222"/>
          <w:szCs w:val="24"/>
          <w:lang w:eastAsia="en-CA"/>
        </w:rPr>
        <w:t>The legacy of events in Walkerton, Ontario that occurred in May 2000 has resulted in a significantly improved legal framework for drinking water protection that includes a multi-barrier approach. As the 20th anniversary of the </w:t>
      </w:r>
      <w:hyperlink r:id="rId7" w:tgtFrame="_blank" w:history="1">
        <w:r w:rsidRPr="00C27DAC">
          <w:rPr>
            <w:rFonts w:asciiTheme="minorHAnsi" w:eastAsia="Times New Roman" w:hAnsiTheme="minorHAnsi"/>
            <w:color w:val="0073AE"/>
            <w:szCs w:val="24"/>
            <w:lang w:eastAsia="en-CA"/>
          </w:rPr>
          <w:t>Walkerton Inquiry Reports</w:t>
        </w:r>
      </w:hyperlink>
      <w:r w:rsidRPr="00C27DAC">
        <w:rPr>
          <w:rFonts w:asciiTheme="minorHAnsi" w:eastAsia="Times New Roman" w:hAnsiTheme="minorHAnsi"/>
          <w:color w:val="222222"/>
          <w:szCs w:val="24"/>
          <w:lang w:eastAsia="en-CA"/>
        </w:rPr>
        <w:t> approaches in 2022, full implementation of the inquiry recommendations has yet to be achieved. This leaves significant unfinished business that must be urgently addressed to ensure drinking water safety for all, particularly the 18% of Ontario’s population that is not currently covered by existing source protection plans.</w:t>
      </w:r>
    </w:p>
    <w:p w14:paraId="0C660376" w14:textId="77777777" w:rsidR="00C27DAC" w:rsidRDefault="00C27DAC" w:rsidP="00C27DAC">
      <w:pPr>
        <w:shd w:val="clear" w:color="auto" w:fill="FFFFFF"/>
        <w:spacing w:after="120"/>
        <w:rPr>
          <w:rFonts w:asciiTheme="minorHAnsi" w:eastAsia="Times New Roman" w:hAnsiTheme="minorHAnsi"/>
          <w:color w:val="222222"/>
          <w:szCs w:val="24"/>
          <w:lang w:eastAsia="en-CA"/>
        </w:rPr>
      </w:pPr>
      <w:r w:rsidRPr="00C27DAC">
        <w:rPr>
          <w:rFonts w:asciiTheme="minorHAnsi" w:eastAsia="Times New Roman" w:hAnsiTheme="minorHAnsi"/>
          <w:i/>
          <w:iCs/>
          <w:color w:val="222222"/>
          <w:szCs w:val="24"/>
          <w:lang w:eastAsia="en-CA"/>
        </w:rPr>
        <w:t>Pe</w:t>
      </w:r>
      <w:r w:rsidRPr="00C27DAC">
        <w:rPr>
          <w:rFonts w:asciiTheme="minorHAnsi" w:eastAsia="Times New Roman" w:hAnsiTheme="minorHAnsi"/>
          <w:color w:val="222222"/>
          <w:szCs w:val="24"/>
          <w:lang w:eastAsia="en-CA"/>
        </w:rPr>
        <w:t>ople who draw drinking water from domestic wells in villages, hamlets, and towns that lack municipal drinking water systems do not currently have any legally enforceable safeguards under approved source protection plans. For example, the auditor general of Ontario reported that approximately 1.6 million Ontarians use private wells for drinking water purposes and are therefore not protected under the current legislative framework. This is urgent and unacceptable, particularly since the applicable legislation, the </w:t>
      </w:r>
      <w:hyperlink r:id="rId8" w:tgtFrame="_blank" w:history="1">
        <w:r w:rsidRPr="00C27DAC">
          <w:rPr>
            <w:rFonts w:asciiTheme="minorHAnsi" w:eastAsia="Times New Roman" w:hAnsiTheme="minorHAnsi"/>
            <w:color w:val="0073AE"/>
            <w:szCs w:val="24"/>
            <w:lang w:eastAsia="en-CA"/>
          </w:rPr>
          <w:t>Clean Water Act</w:t>
        </w:r>
      </w:hyperlink>
      <w:r w:rsidRPr="00C27DAC">
        <w:rPr>
          <w:rFonts w:asciiTheme="minorHAnsi" w:eastAsia="Times New Roman" w:hAnsiTheme="minorHAnsi"/>
          <w:color w:val="222222"/>
          <w:szCs w:val="24"/>
          <w:lang w:eastAsia="en-CA"/>
        </w:rPr>
        <w:t>, contains sections that would address these situations. The Ontario Ministry of the Environment, Conservation and Parks has decided not to utilize these powers, thus leaving these communities unprotected by the multi-barrier approach that Justice O’Connor recommended.</w:t>
      </w:r>
    </w:p>
    <w:p w14:paraId="17ADA48D" w14:textId="77777777" w:rsidR="00C27DAC" w:rsidRDefault="00C27DAC" w:rsidP="00C27DAC">
      <w:pPr>
        <w:shd w:val="clear" w:color="auto" w:fill="FFFFFF"/>
        <w:spacing w:after="120"/>
        <w:rPr>
          <w:rFonts w:asciiTheme="minorHAnsi" w:eastAsia="Times New Roman" w:hAnsiTheme="minorHAnsi"/>
          <w:b/>
          <w:bCs/>
          <w:color w:val="111111"/>
          <w:szCs w:val="24"/>
          <w:lang w:eastAsia="en-CA"/>
        </w:rPr>
      </w:pPr>
    </w:p>
    <w:p w14:paraId="56DEEA12" w14:textId="46B7E3DE" w:rsidR="00C27DAC" w:rsidRPr="00C27DAC" w:rsidRDefault="00C27DAC" w:rsidP="00C27DAC">
      <w:pPr>
        <w:shd w:val="clear" w:color="auto" w:fill="FFFFFF"/>
        <w:spacing w:after="120"/>
        <w:rPr>
          <w:rFonts w:asciiTheme="minorHAnsi" w:eastAsia="Times New Roman" w:hAnsiTheme="minorHAnsi"/>
          <w:color w:val="111111"/>
          <w:szCs w:val="24"/>
          <w:lang w:eastAsia="en-CA"/>
        </w:rPr>
      </w:pPr>
      <w:r w:rsidRPr="00C27DAC">
        <w:rPr>
          <w:rFonts w:asciiTheme="minorHAnsi" w:eastAsia="Times New Roman" w:hAnsiTheme="minorHAnsi"/>
          <w:b/>
          <w:bCs/>
          <w:color w:val="111111"/>
          <w:szCs w:val="24"/>
          <w:lang w:eastAsia="en-CA"/>
        </w:rPr>
        <w:t>What happened after Walkerton?</w:t>
      </w:r>
    </w:p>
    <w:p w14:paraId="40C69B6A" w14:textId="77777777" w:rsidR="00C27DAC" w:rsidRPr="00C27DAC" w:rsidRDefault="00C27DAC" w:rsidP="00C27DAC">
      <w:pPr>
        <w:shd w:val="clear" w:color="auto" w:fill="FFFFFF"/>
        <w:spacing w:after="120"/>
        <w:rPr>
          <w:rFonts w:asciiTheme="minorHAnsi" w:eastAsia="Times New Roman" w:hAnsiTheme="minorHAnsi"/>
          <w:color w:val="222222"/>
          <w:szCs w:val="24"/>
          <w:lang w:eastAsia="en-CA"/>
        </w:rPr>
      </w:pPr>
      <w:r w:rsidRPr="00C27DAC">
        <w:rPr>
          <w:rFonts w:asciiTheme="minorHAnsi" w:eastAsia="Times New Roman" w:hAnsiTheme="minorHAnsi"/>
          <w:color w:val="222222"/>
          <w:szCs w:val="24"/>
          <w:lang w:eastAsia="en-CA"/>
        </w:rPr>
        <w:t>As information about the devastating impact of drinking water contamination in Walkerton was unfolding, the Ontario government established a Commission of Inquiry and appointed Justice Dennis R. O’Connor as Commissioner. In January and May 2002, Commissioner O’Connor delivered Part One and Part Two (respectively) of the Report of the Walkerton Inquiry.</w:t>
      </w:r>
    </w:p>
    <w:p w14:paraId="1E451A69" w14:textId="77777777" w:rsidR="00C27DAC" w:rsidRPr="00C27DAC" w:rsidRDefault="00C27DAC" w:rsidP="00C27DAC">
      <w:pPr>
        <w:shd w:val="clear" w:color="auto" w:fill="FFFFFF"/>
        <w:spacing w:after="120"/>
        <w:rPr>
          <w:rFonts w:asciiTheme="minorHAnsi" w:eastAsia="Times New Roman" w:hAnsiTheme="minorHAnsi"/>
          <w:color w:val="222222"/>
          <w:szCs w:val="24"/>
          <w:lang w:eastAsia="en-CA"/>
        </w:rPr>
      </w:pPr>
      <w:r w:rsidRPr="00C27DAC">
        <w:rPr>
          <w:rFonts w:asciiTheme="minorHAnsi" w:eastAsia="Times New Roman" w:hAnsiTheme="minorHAnsi"/>
          <w:color w:val="222222"/>
          <w:szCs w:val="24"/>
          <w:lang w:eastAsia="en-CA"/>
        </w:rPr>
        <w:t>Commissioner O’Connor concluded that a cornerstone of an effective system of protection for drinking water was to ensure a multi-barrier approach. Protection of drinking water sources was suggested to best be done on a watershed basis as a component of a comprehensive approach to all waters:</w:t>
      </w:r>
    </w:p>
    <w:p w14:paraId="5C12ED02" w14:textId="77777777" w:rsidR="00C27DAC" w:rsidRPr="00C27DAC" w:rsidRDefault="00C27DAC" w:rsidP="00C27DAC">
      <w:pPr>
        <w:shd w:val="clear" w:color="auto" w:fill="FFFFFF"/>
        <w:spacing w:after="120"/>
        <w:rPr>
          <w:rFonts w:asciiTheme="minorHAnsi" w:eastAsia="Times New Roman" w:hAnsiTheme="minorHAnsi"/>
          <w:color w:val="222222"/>
          <w:szCs w:val="24"/>
          <w:lang w:eastAsia="en-CA"/>
        </w:rPr>
      </w:pPr>
      <w:r w:rsidRPr="00C27DAC">
        <w:rPr>
          <w:rFonts w:asciiTheme="minorHAnsi" w:eastAsia="Times New Roman" w:hAnsiTheme="minorHAnsi"/>
          <w:color w:val="222222"/>
          <w:szCs w:val="24"/>
          <w:lang w:eastAsia="en-CA"/>
        </w:rPr>
        <w:t>“Drinking water source protection, as one aspect of watershed management, makes the most sense in the context of an overall watershed management plan. In this report, I restrict my recommendations to those aspects of watershed management that I think are necessary to protect drinking water sources, but I want to emphasize that a comprehensive approach for managing all aspects of watersheds is needed and should be adopted by the province. Source protection plans should be a subset of the broader watershed management plans.”</w:t>
      </w:r>
    </w:p>
    <w:p w14:paraId="4BF8C679" w14:textId="77777777" w:rsidR="00C27DAC" w:rsidRDefault="00C27DAC" w:rsidP="00C27DAC">
      <w:pPr>
        <w:shd w:val="clear" w:color="auto" w:fill="FFFFFF"/>
        <w:spacing w:after="120"/>
        <w:rPr>
          <w:rFonts w:asciiTheme="minorHAnsi" w:eastAsia="Times New Roman" w:hAnsiTheme="minorHAnsi"/>
          <w:color w:val="222222"/>
          <w:szCs w:val="24"/>
          <w:lang w:eastAsia="en-CA"/>
        </w:rPr>
      </w:pPr>
    </w:p>
    <w:p w14:paraId="1C496517" w14:textId="77777777" w:rsidR="00C27DAC" w:rsidRDefault="00C27DAC" w:rsidP="00C27DAC">
      <w:pPr>
        <w:shd w:val="clear" w:color="auto" w:fill="FFFFFF"/>
        <w:spacing w:after="120"/>
        <w:rPr>
          <w:rFonts w:asciiTheme="minorHAnsi" w:eastAsia="Times New Roman" w:hAnsiTheme="minorHAnsi"/>
          <w:color w:val="222222"/>
          <w:szCs w:val="24"/>
          <w:lang w:eastAsia="en-CA"/>
        </w:rPr>
      </w:pPr>
    </w:p>
    <w:p w14:paraId="5D1B4EC6" w14:textId="21E2FE7A" w:rsidR="00C27DAC" w:rsidRPr="00C27DAC" w:rsidRDefault="00C27DAC" w:rsidP="00C27DAC">
      <w:pPr>
        <w:shd w:val="clear" w:color="auto" w:fill="FFFFFF"/>
        <w:spacing w:after="120"/>
        <w:rPr>
          <w:rFonts w:asciiTheme="minorHAnsi" w:eastAsia="Times New Roman" w:hAnsiTheme="minorHAnsi"/>
          <w:color w:val="222222"/>
          <w:szCs w:val="24"/>
          <w:lang w:eastAsia="en-CA"/>
        </w:rPr>
      </w:pPr>
      <w:r w:rsidRPr="00C27DAC">
        <w:rPr>
          <w:rFonts w:asciiTheme="minorHAnsi" w:eastAsia="Times New Roman" w:hAnsiTheme="minorHAnsi"/>
          <w:color w:val="222222"/>
          <w:szCs w:val="24"/>
          <w:lang w:eastAsia="en-CA"/>
        </w:rPr>
        <w:lastRenderedPageBreak/>
        <w:t>After passing the </w:t>
      </w:r>
      <w:hyperlink r:id="rId9" w:tgtFrame="_blank" w:history="1">
        <w:r w:rsidRPr="00C27DAC">
          <w:rPr>
            <w:rFonts w:asciiTheme="minorHAnsi" w:eastAsia="Times New Roman" w:hAnsiTheme="minorHAnsi"/>
            <w:color w:val="0073AE"/>
            <w:szCs w:val="24"/>
            <w:lang w:eastAsia="en-CA"/>
          </w:rPr>
          <w:t>Safe Drinking Water Act</w:t>
        </w:r>
      </w:hyperlink>
      <w:r w:rsidRPr="00C27DAC">
        <w:rPr>
          <w:rFonts w:asciiTheme="minorHAnsi" w:eastAsia="Times New Roman" w:hAnsiTheme="minorHAnsi"/>
          <w:color w:val="222222"/>
          <w:szCs w:val="24"/>
          <w:lang w:eastAsia="en-CA"/>
        </w:rPr>
        <w:t> in 2002 to address drinking water treatment, testing, and distribution, Ontario enacted the Clean Water Act in 2006 to address the Inquiry recommendations regarding drinking water source protection. Twenty-two source protection regions and areas were established, along with multi-stakeholder source protection committees for each one. At present, all 22 source protection plans have been approved by the Environment Ministry, and are currently being implemented, monitored, and refined at the local level.</w:t>
      </w:r>
    </w:p>
    <w:p w14:paraId="7BA9F517" w14:textId="77777777" w:rsidR="00C27DAC" w:rsidRPr="00C27DAC" w:rsidRDefault="00C27DAC" w:rsidP="00C27DAC">
      <w:pPr>
        <w:shd w:val="clear" w:color="auto" w:fill="FFFFFF"/>
        <w:spacing w:after="120"/>
        <w:rPr>
          <w:rFonts w:asciiTheme="minorHAnsi" w:eastAsia="Times New Roman" w:hAnsiTheme="minorHAnsi"/>
          <w:color w:val="222222"/>
          <w:szCs w:val="24"/>
          <w:lang w:eastAsia="en-CA"/>
        </w:rPr>
      </w:pPr>
      <w:r w:rsidRPr="00C27DAC">
        <w:rPr>
          <w:rFonts w:asciiTheme="minorHAnsi" w:eastAsia="Times New Roman" w:hAnsiTheme="minorHAnsi"/>
          <w:color w:val="222222"/>
          <w:szCs w:val="24"/>
          <w:lang w:eastAsia="en-CA"/>
        </w:rPr>
        <w:t>This achievement, while commendable, is only part of the job of safeguarding the quality and quantity of sources of drinking water across the province.</w:t>
      </w:r>
    </w:p>
    <w:p w14:paraId="43E49546" w14:textId="77777777" w:rsidR="00C27DAC" w:rsidRDefault="00C27DAC" w:rsidP="00C27DAC">
      <w:pPr>
        <w:spacing w:after="120"/>
        <w:rPr>
          <w:rFonts w:asciiTheme="minorHAnsi" w:eastAsia="Times New Roman" w:hAnsiTheme="minorHAnsi"/>
          <w:szCs w:val="24"/>
          <w:lang w:eastAsia="en-CA"/>
        </w:rPr>
      </w:pPr>
      <w:r w:rsidRPr="00C27DAC">
        <w:rPr>
          <w:rFonts w:asciiTheme="minorHAnsi" w:eastAsia="Times New Roman" w:hAnsiTheme="minorHAnsi"/>
          <w:noProof/>
          <w:szCs w:val="24"/>
          <w:lang w:eastAsia="en-CA"/>
        </w:rPr>
        <w:drawing>
          <wp:inline distT="0" distB="0" distL="0" distR="0" wp14:anchorId="7400B5C6" wp14:editId="7A6428F1">
            <wp:extent cx="3677787" cy="2453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6991" cy="2459781"/>
                    </a:xfrm>
                    <a:prstGeom prst="rect">
                      <a:avLst/>
                    </a:prstGeom>
                    <a:noFill/>
                    <a:ln>
                      <a:noFill/>
                    </a:ln>
                  </pic:spPr>
                </pic:pic>
              </a:graphicData>
            </a:graphic>
          </wp:inline>
        </w:drawing>
      </w:r>
    </w:p>
    <w:p w14:paraId="422C7A87" w14:textId="409F8CAD" w:rsidR="00C27DAC" w:rsidRPr="00C27DAC" w:rsidRDefault="00C27DAC" w:rsidP="00C27DAC">
      <w:pPr>
        <w:spacing w:after="120"/>
        <w:rPr>
          <w:rFonts w:asciiTheme="minorHAnsi" w:eastAsia="Times New Roman" w:hAnsiTheme="minorHAnsi"/>
          <w:szCs w:val="24"/>
          <w:lang w:eastAsia="en-CA"/>
        </w:rPr>
      </w:pPr>
      <w:r w:rsidRPr="00C27DAC">
        <w:rPr>
          <w:rFonts w:asciiTheme="minorHAnsi" w:eastAsia="Times New Roman" w:hAnsiTheme="minorHAnsi"/>
          <w:szCs w:val="24"/>
          <w:lang w:eastAsia="en-CA"/>
        </w:rPr>
        <w:t xml:space="preserve">photo: </w:t>
      </w:r>
      <w:proofErr w:type="spellStart"/>
      <w:r w:rsidRPr="00C27DAC">
        <w:rPr>
          <w:rFonts w:asciiTheme="minorHAnsi" w:eastAsia="Times New Roman" w:hAnsiTheme="minorHAnsi"/>
          <w:szCs w:val="24"/>
          <w:lang w:eastAsia="en-CA"/>
        </w:rPr>
        <w:t>luis</w:t>
      </w:r>
      <w:proofErr w:type="spellEnd"/>
      <w:r w:rsidRPr="00C27DAC">
        <w:rPr>
          <w:rFonts w:asciiTheme="minorHAnsi" w:eastAsia="Times New Roman" w:hAnsiTheme="minorHAnsi"/>
          <w:szCs w:val="24"/>
          <w:lang w:eastAsia="en-CA"/>
        </w:rPr>
        <w:t xml:space="preserve"> </w:t>
      </w:r>
      <w:proofErr w:type="spellStart"/>
      <w:r w:rsidRPr="00C27DAC">
        <w:rPr>
          <w:rFonts w:asciiTheme="minorHAnsi" w:eastAsia="Times New Roman" w:hAnsiTheme="minorHAnsi"/>
          <w:szCs w:val="24"/>
          <w:lang w:eastAsia="en-CA"/>
        </w:rPr>
        <w:t>tosta</w:t>
      </w:r>
      <w:proofErr w:type="spellEnd"/>
      <w:r w:rsidRPr="00C27DAC">
        <w:rPr>
          <w:rFonts w:asciiTheme="minorHAnsi" w:eastAsia="Times New Roman" w:hAnsiTheme="minorHAnsi"/>
          <w:szCs w:val="24"/>
          <w:lang w:eastAsia="en-CA"/>
        </w:rPr>
        <w:t xml:space="preserve"> | unsplash.com</w:t>
      </w:r>
    </w:p>
    <w:p w14:paraId="3F655A98" w14:textId="77777777" w:rsidR="00C27DAC" w:rsidRPr="00C27DAC" w:rsidRDefault="00C27DAC" w:rsidP="00C27DAC">
      <w:pPr>
        <w:shd w:val="clear" w:color="auto" w:fill="FFFFFF"/>
        <w:spacing w:after="120"/>
        <w:outlineLvl w:val="3"/>
        <w:rPr>
          <w:rFonts w:asciiTheme="minorHAnsi" w:eastAsia="Times New Roman" w:hAnsiTheme="minorHAnsi"/>
          <w:color w:val="111111"/>
          <w:szCs w:val="24"/>
          <w:lang w:eastAsia="en-CA"/>
        </w:rPr>
      </w:pPr>
      <w:r w:rsidRPr="00C27DAC">
        <w:rPr>
          <w:rFonts w:asciiTheme="minorHAnsi" w:eastAsia="Times New Roman" w:hAnsiTheme="minorHAnsi"/>
          <w:b/>
          <w:bCs/>
          <w:color w:val="111111"/>
          <w:szCs w:val="24"/>
          <w:lang w:eastAsia="en-CA"/>
        </w:rPr>
        <w:t>Why isn’t it enough?</w:t>
      </w:r>
    </w:p>
    <w:p w14:paraId="2E5152FC" w14:textId="77777777" w:rsidR="00C27DAC" w:rsidRPr="00C27DAC" w:rsidRDefault="00C27DAC" w:rsidP="00C27DAC">
      <w:pPr>
        <w:shd w:val="clear" w:color="auto" w:fill="FFFFFF"/>
        <w:spacing w:after="120"/>
        <w:rPr>
          <w:rFonts w:asciiTheme="minorHAnsi" w:eastAsia="Times New Roman" w:hAnsiTheme="minorHAnsi"/>
          <w:color w:val="222222"/>
          <w:szCs w:val="24"/>
          <w:lang w:eastAsia="en-CA"/>
        </w:rPr>
      </w:pPr>
      <w:r w:rsidRPr="00C27DAC">
        <w:rPr>
          <w:rFonts w:asciiTheme="minorHAnsi" w:eastAsia="Times New Roman" w:hAnsiTheme="minorHAnsi"/>
          <w:color w:val="222222"/>
          <w:szCs w:val="24"/>
          <w:lang w:eastAsia="en-CA"/>
        </w:rPr>
        <w:t>To date, the approved source protection plans have been limited to water sources used only by a few First Nations and most (but not all) municipal drinking water systems in Ontario. </w:t>
      </w:r>
    </w:p>
    <w:p w14:paraId="00E95841" w14:textId="77777777" w:rsidR="00C27DAC" w:rsidRPr="00C27DAC" w:rsidRDefault="00C27DAC" w:rsidP="00C27DAC">
      <w:pPr>
        <w:shd w:val="clear" w:color="auto" w:fill="FFFFFF"/>
        <w:spacing w:after="120"/>
        <w:rPr>
          <w:rFonts w:asciiTheme="minorHAnsi" w:eastAsia="Times New Roman" w:hAnsiTheme="minorHAnsi"/>
          <w:color w:val="222222"/>
          <w:szCs w:val="24"/>
          <w:lang w:eastAsia="en-CA"/>
        </w:rPr>
      </w:pPr>
      <w:r w:rsidRPr="00C27DAC">
        <w:rPr>
          <w:rFonts w:asciiTheme="minorHAnsi" w:eastAsia="Times New Roman" w:hAnsiTheme="minorHAnsi"/>
          <w:color w:val="222222"/>
          <w:szCs w:val="24"/>
          <w:lang w:eastAsia="en-CA"/>
        </w:rPr>
        <w:t>Since the events in Walkerton, the Province’s chief drinking water inspector has consistently found that about 99.9% of the water testing results from municipal residential drinking water systems met Ontario’s strict drinking water quality standards. Based on these favourable test results, Ontario often proclaims that the multi-barrier approach to protecting drinking water has made tap water in the province among the best-protected in the world. </w:t>
      </w:r>
    </w:p>
    <w:p w14:paraId="12EB6CC3" w14:textId="77777777" w:rsidR="00C27DAC" w:rsidRPr="00C27DAC" w:rsidRDefault="00C27DAC" w:rsidP="00C27DAC">
      <w:pPr>
        <w:shd w:val="clear" w:color="auto" w:fill="FFFFFF"/>
        <w:spacing w:after="120"/>
        <w:rPr>
          <w:rFonts w:asciiTheme="minorHAnsi" w:eastAsia="Times New Roman" w:hAnsiTheme="minorHAnsi"/>
          <w:color w:val="222222"/>
          <w:szCs w:val="24"/>
          <w:lang w:eastAsia="en-CA"/>
        </w:rPr>
      </w:pPr>
      <w:r w:rsidRPr="00C27DAC">
        <w:rPr>
          <w:rFonts w:asciiTheme="minorHAnsi" w:eastAsia="Times New Roman" w:hAnsiTheme="minorHAnsi"/>
          <w:color w:val="222222"/>
          <w:szCs w:val="24"/>
          <w:lang w:eastAsia="en-CA"/>
        </w:rPr>
        <w:t xml:space="preserve">While this claim may be valid for the majority </w:t>
      </w:r>
      <w:proofErr w:type="gramStart"/>
      <w:r w:rsidRPr="00C27DAC">
        <w:rPr>
          <w:rFonts w:asciiTheme="minorHAnsi" w:eastAsia="Times New Roman" w:hAnsiTheme="minorHAnsi"/>
          <w:color w:val="222222"/>
          <w:szCs w:val="24"/>
          <w:lang w:eastAsia="en-CA"/>
        </w:rPr>
        <w:t>of  those</w:t>
      </w:r>
      <w:proofErr w:type="gramEnd"/>
      <w:r w:rsidRPr="00C27DAC">
        <w:rPr>
          <w:rFonts w:asciiTheme="minorHAnsi" w:eastAsia="Times New Roman" w:hAnsiTheme="minorHAnsi"/>
          <w:color w:val="222222"/>
          <w:szCs w:val="24"/>
          <w:lang w:eastAsia="en-CA"/>
        </w:rPr>
        <w:t xml:space="preserve"> living in urban centres and larger towns, it is not necessarily true for most First Nations or for residents who consume water from private wells or private surface water intakes. If the provincial government wants to ensure and enhance drinking water safety for all residents of Ontario, then it needs to fully implement the provisions of the Clean Water Act regime; this is both necessary and desirable in the public interest. </w:t>
      </w:r>
    </w:p>
    <w:p w14:paraId="269204D9" w14:textId="77777777" w:rsidR="00C27DAC" w:rsidRDefault="00C27DAC" w:rsidP="00C27DAC">
      <w:pPr>
        <w:shd w:val="clear" w:color="auto" w:fill="FFFFFF"/>
        <w:spacing w:after="120"/>
        <w:rPr>
          <w:rFonts w:asciiTheme="minorHAnsi" w:eastAsia="Times New Roman" w:hAnsiTheme="minorHAnsi"/>
          <w:color w:val="222222"/>
          <w:szCs w:val="24"/>
          <w:lang w:eastAsia="en-CA"/>
        </w:rPr>
      </w:pPr>
    </w:p>
    <w:p w14:paraId="44ED47A9" w14:textId="77777777" w:rsidR="00C27DAC" w:rsidRDefault="00C27DAC" w:rsidP="00C27DAC">
      <w:pPr>
        <w:shd w:val="clear" w:color="auto" w:fill="FFFFFF"/>
        <w:spacing w:after="120"/>
        <w:rPr>
          <w:rFonts w:asciiTheme="minorHAnsi" w:eastAsia="Times New Roman" w:hAnsiTheme="minorHAnsi"/>
          <w:color w:val="222222"/>
          <w:szCs w:val="24"/>
          <w:lang w:eastAsia="en-CA"/>
        </w:rPr>
      </w:pPr>
    </w:p>
    <w:p w14:paraId="6CB842B0" w14:textId="4AD0BCF1" w:rsidR="00C27DAC" w:rsidRPr="00C27DAC" w:rsidRDefault="00C27DAC" w:rsidP="00C27DAC">
      <w:pPr>
        <w:shd w:val="clear" w:color="auto" w:fill="FFFFFF"/>
        <w:spacing w:after="120"/>
        <w:rPr>
          <w:rFonts w:asciiTheme="minorHAnsi" w:eastAsia="Times New Roman" w:hAnsiTheme="minorHAnsi"/>
          <w:color w:val="222222"/>
          <w:szCs w:val="24"/>
          <w:lang w:eastAsia="en-CA"/>
        </w:rPr>
      </w:pPr>
      <w:r w:rsidRPr="00C27DAC">
        <w:rPr>
          <w:rFonts w:asciiTheme="minorHAnsi" w:eastAsia="Times New Roman" w:hAnsiTheme="minorHAnsi"/>
          <w:color w:val="222222"/>
          <w:szCs w:val="24"/>
          <w:lang w:eastAsia="en-CA"/>
        </w:rPr>
        <w:lastRenderedPageBreak/>
        <w:t>There are three crucial gaps in the current state of implementation of the Clean Water Act:</w:t>
      </w:r>
    </w:p>
    <w:p w14:paraId="73E35B13" w14:textId="77777777" w:rsidR="00C27DAC" w:rsidRPr="00C27DAC" w:rsidRDefault="00C27DAC" w:rsidP="00C27DAC">
      <w:pPr>
        <w:numPr>
          <w:ilvl w:val="0"/>
          <w:numId w:val="1"/>
        </w:numPr>
        <w:shd w:val="clear" w:color="auto" w:fill="FFFFFF"/>
        <w:spacing w:after="120"/>
        <w:ind w:left="1035"/>
        <w:rPr>
          <w:rFonts w:asciiTheme="minorHAnsi" w:eastAsia="Times New Roman" w:hAnsiTheme="minorHAnsi"/>
          <w:color w:val="222222"/>
          <w:szCs w:val="24"/>
          <w:lang w:eastAsia="en-CA"/>
        </w:rPr>
      </w:pPr>
      <w:r w:rsidRPr="00C27DAC">
        <w:rPr>
          <w:rFonts w:asciiTheme="minorHAnsi" w:eastAsia="Times New Roman" w:hAnsiTheme="minorHAnsi"/>
          <w:color w:val="222222"/>
          <w:szCs w:val="24"/>
          <w:lang w:eastAsia="en-CA"/>
        </w:rPr>
        <w:t>Drinking water sources located outside a defined source protection area, including many municipalities.</w:t>
      </w:r>
    </w:p>
    <w:p w14:paraId="7429D72B" w14:textId="77777777" w:rsidR="00C27DAC" w:rsidRPr="00C27DAC" w:rsidRDefault="00C27DAC" w:rsidP="00C27DAC">
      <w:pPr>
        <w:numPr>
          <w:ilvl w:val="0"/>
          <w:numId w:val="1"/>
        </w:numPr>
        <w:shd w:val="clear" w:color="auto" w:fill="FFFFFF"/>
        <w:spacing w:after="120"/>
        <w:ind w:left="1035"/>
        <w:rPr>
          <w:rFonts w:asciiTheme="minorHAnsi" w:eastAsia="Times New Roman" w:hAnsiTheme="minorHAnsi"/>
          <w:color w:val="222222"/>
          <w:szCs w:val="24"/>
          <w:lang w:eastAsia="en-CA"/>
        </w:rPr>
      </w:pPr>
      <w:r w:rsidRPr="00C27DAC">
        <w:rPr>
          <w:rFonts w:asciiTheme="minorHAnsi" w:eastAsia="Times New Roman" w:hAnsiTheme="minorHAnsi"/>
          <w:color w:val="222222"/>
          <w:szCs w:val="24"/>
          <w:lang w:eastAsia="en-CA"/>
        </w:rPr>
        <w:t>Drinking water sources located within a defined source protection area but excluded from the protective plan policies that only apply to municipal wellheads or intakes in surface water bodies, such as whole towns and villages that utilize private wells but access the same aquifer.</w:t>
      </w:r>
    </w:p>
    <w:p w14:paraId="043082C9" w14:textId="77777777" w:rsidR="00C27DAC" w:rsidRPr="00C27DAC" w:rsidRDefault="00C27DAC" w:rsidP="00C27DAC">
      <w:pPr>
        <w:numPr>
          <w:ilvl w:val="0"/>
          <w:numId w:val="1"/>
        </w:numPr>
        <w:shd w:val="clear" w:color="auto" w:fill="FFFFFF"/>
        <w:spacing w:after="120"/>
        <w:ind w:left="1035"/>
        <w:rPr>
          <w:rFonts w:asciiTheme="minorHAnsi" w:eastAsia="Times New Roman" w:hAnsiTheme="minorHAnsi"/>
          <w:color w:val="222222"/>
          <w:szCs w:val="24"/>
          <w:lang w:eastAsia="en-CA"/>
        </w:rPr>
      </w:pPr>
      <w:r w:rsidRPr="00C27DAC">
        <w:rPr>
          <w:rFonts w:asciiTheme="minorHAnsi" w:eastAsia="Times New Roman" w:hAnsiTheme="minorHAnsi"/>
          <w:color w:val="222222"/>
          <w:szCs w:val="24"/>
          <w:lang w:eastAsia="en-CA"/>
        </w:rPr>
        <w:t>Drinking water sources utilized by many Indigenous communities, with differing technical, financial, and jurisdictional challenges, depending on whether the sources are within, adjacent to, or outside defined source protection areas.</w:t>
      </w:r>
    </w:p>
    <w:p w14:paraId="54161DBA" w14:textId="77777777" w:rsidR="00C27DAC" w:rsidRPr="00C27DAC" w:rsidRDefault="00C27DAC" w:rsidP="00C27DAC">
      <w:pPr>
        <w:shd w:val="clear" w:color="auto" w:fill="FFFFFF"/>
        <w:spacing w:after="120"/>
        <w:rPr>
          <w:rFonts w:asciiTheme="minorHAnsi" w:eastAsia="Times New Roman" w:hAnsiTheme="minorHAnsi"/>
          <w:color w:val="222222"/>
          <w:szCs w:val="24"/>
          <w:lang w:eastAsia="en-CA"/>
        </w:rPr>
      </w:pPr>
      <w:r w:rsidRPr="00C27DAC">
        <w:rPr>
          <w:rFonts w:asciiTheme="minorHAnsi" w:eastAsia="Times New Roman" w:hAnsiTheme="minorHAnsi"/>
          <w:color w:val="222222"/>
          <w:szCs w:val="24"/>
          <w:lang w:eastAsia="en-CA"/>
        </w:rPr>
        <w:t>With respect to the last gap, the fact that only a very few First Nations have opted into the Clean Water Act, and that making use of this policy solution requires active involvement by the nation and the federal government, has limited the number of Indigenous communities protected by the source water protection system in Ontario.</w:t>
      </w:r>
    </w:p>
    <w:p w14:paraId="6F7F5810" w14:textId="77777777" w:rsidR="00C27DAC" w:rsidRPr="00C27DAC" w:rsidRDefault="00C27DAC" w:rsidP="00C27DAC">
      <w:pPr>
        <w:shd w:val="clear" w:color="auto" w:fill="FFFFFF"/>
        <w:spacing w:after="120"/>
        <w:rPr>
          <w:rFonts w:asciiTheme="minorHAnsi" w:eastAsia="Times New Roman" w:hAnsiTheme="minorHAnsi"/>
          <w:color w:val="222222"/>
          <w:szCs w:val="24"/>
          <w:lang w:eastAsia="en-CA"/>
        </w:rPr>
      </w:pPr>
      <w:r w:rsidRPr="00C27DAC">
        <w:rPr>
          <w:rFonts w:asciiTheme="minorHAnsi" w:eastAsia="Times New Roman" w:hAnsiTheme="minorHAnsi"/>
          <w:color w:val="222222"/>
          <w:szCs w:val="24"/>
          <w:lang w:eastAsia="en-CA"/>
        </w:rPr>
        <w:t>Closing these gaps is crucial because for some people, such as those whose drinking water comes directly from a private well supplied by a local aquifer, protecting the source is the only preventative barrier open to them within the multi-barrier approach.</w:t>
      </w:r>
    </w:p>
    <w:p w14:paraId="03624272" w14:textId="77777777" w:rsidR="00C27DAC" w:rsidRPr="00C27DAC" w:rsidRDefault="00C27DAC" w:rsidP="00C27DAC">
      <w:pPr>
        <w:shd w:val="clear" w:color="auto" w:fill="FFFFFF"/>
        <w:spacing w:after="120"/>
        <w:rPr>
          <w:rFonts w:asciiTheme="minorHAnsi" w:eastAsia="Times New Roman" w:hAnsiTheme="minorHAnsi"/>
          <w:color w:val="222222"/>
          <w:szCs w:val="24"/>
          <w:lang w:eastAsia="en-CA"/>
        </w:rPr>
      </w:pPr>
      <w:r w:rsidRPr="00C27DAC">
        <w:rPr>
          <w:rFonts w:asciiTheme="minorHAnsi" w:eastAsia="Times New Roman" w:hAnsiTheme="minorHAnsi"/>
          <w:color w:val="222222"/>
          <w:szCs w:val="24"/>
          <w:lang w:eastAsia="en-CA"/>
        </w:rPr>
        <w:t>For others, such as those whose drinking water comes from Muskrat Lake, including the Village of Cobden in the Township of Whitewater Region, the municipal system is not within a source protection area. As such, even though the water quality of Muskrat Lake is recognized as the poorest in Renfrew County, it is not currently being assessed for drinking water threats and there are no policies in place to reduce the risks.</w:t>
      </w:r>
    </w:p>
    <w:p w14:paraId="6B9BC0CA" w14:textId="77777777" w:rsidR="00C27DAC" w:rsidRPr="00C27DAC" w:rsidRDefault="00C27DAC" w:rsidP="00C27DAC">
      <w:pPr>
        <w:shd w:val="clear" w:color="auto" w:fill="FFFFFF"/>
        <w:spacing w:after="120"/>
        <w:rPr>
          <w:rFonts w:asciiTheme="minorHAnsi" w:eastAsia="Times New Roman" w:hAnsiTheme="minorHAnsi"/>
          <w:color w:val="222222"/>
          <w:szCs w:val="24"/>
          <w:lang w:eastAsia="en-CA"/>
        </w:rPr>
      </w:pPr>
      <w:r w:rsidRPr="00C27DAC">
        <w:rPr>
          <w:rFonts w:asciiTheme="minorHAnsi" w:eastAsia="Times New Roman" w:hAnsiTheme="minorHAnsi"/>
          <w:color w:val="222222"/>
          <w:szCs w:val="24"/>
          <w:lang w:eastAsia="en-CA"/>
        </w:rPr>
        <w:t>The Village of Cobden is not alone. Over 40 municipal drinking water systems throughout Ontario are not covered by the Clean Water Act and, therefore, do not have source water protection plans to prevent the contamination of their sources of drinking water. Even in what seems like an urban setting, with paved streets, commercial and industrial activities, and high-density housing, there are sources of drinking water that are not yet protected through the Clean Water Act or otherwise.</w:t>
      </w:r>
    </w:p>
    <w:p w14:paraId="513FFA1F" w14:textId="77777777" w:rsidR="00C27DAC" w:rsidRPr="00C27DAC" w:rsidRDefault="00C27DAC" w:rsidP="00C27DAC">
      <w:pPr>
        <w:shd w:val="clear" w:color="auto" w:fill="FFFFFF"/>
        <w:spacing w:after="120"/>
        <w:rPr>
          <w:rFonts w:asciiTheme="minorHAnsi" w:eastAsia="Times New Roman" w:hAnsiTheme="minorHAnsi"/>
          <w:color w:val="222222"/>
          <w:szCs w:val="24"/>
          <w:lang w:eastAsia="en-CA"/>
        </w:rPr>
      </w:pPr>
      <w:r w:rsidRPr="00C27DAC">
        <w:rPr>
          <w:rFonts w:asciiTheme="minorHAnsi" w:eastAsia="Times New Roman" w:hAnsiTheme="minorHAnsi"/>
          <w:color w:val="222222"/>
          <w:szCs w:val="24"/>
          <w:lang w:eastAsia="en-CA"/>
        </w:rPr>
        <w:t>Further, safeguarding drinking water for First Nations requires particular attention. Decision-makers at the federal and provincial levels must ensure that resources are directed to Indigenous-led, participatory processes that will respectfully and meaningfully address and remedy the challenges of those drinking water systems.</w:t>
      </w:r>
    </w:p>
    <w:p w14:paraId="1E6B511A" w14:textId="77777777" w:rsidR="00C27DAC" w:rsidRPr="00C27DAC" w:rsidRDefault="00C27DAC" w:rsidP="00C27DAC">
      <w:pPr>
        <w:shd w:val="clear" w:color="auto" w:fill="FFFFFF"/>
        <w:spacing w:after="120"/>
        <w:outlineLvl w:val="3"/>
        <w:rPr>
          <w:rFonts w:asciiTheme="minorHAnsi" w:eastAsia="Times New Roman" w:hAnsiTheme="minorHAnsi"/>
          <w:color w:val="111111"/>
          <w:szCs w:val="24"/>
          <w:lang w:eastAsia="en-CA"/>
        </w:rPr>
      </w:pPr>
      <w:r w:rsidRPr="00C27DAC">
        <w:rPr>
          <w:rFonts w:asciiTheme="minorHAnsi" w:eastAsia="Times New Roman" w:hAnsiTheme="minorHAnsi"/>
          <w:b/>
          <w:bCs/>
          <w:color w:val="111111"/>
          <w:szCs w:val="24"/>
          <w:lang w:eastAsia="en-CA"/>
        </w:rPr>
        <w:t>What needs to happen next?</w:t>
      </w:r>
    </w:p>
    <w:p w14:paraId="6828DE28" w14:textId="77777777" w:rsidR="00C27DAC" w:rsidRDefault="00C27DAC" w:rsidP="00C27DAC">
      <w:pPr>
        <w:shd w:val="clear" w:color="auto" w:fill="FFFFFF"/>
        <w:spacing w:after="120"/>
        <w:rPr>
          <w:rFonts w:asciiTheme="minorHAnsi" w:eastAsia="Times New Roman" w:hAnsiTheme="minorHAnsi"/>
          <w:color w:val="222222"/>
          <w:szCs w:val="24"/>
          <w:lang w:eastAsia="en-CA"/>
        </w:rPr>
      </w:pPr>
      <w:r w:rsidRPr="00C27DAC">
        <w:rPr>
          <w:rFonts w:asciiTheme="minorHAnsi" w:eastAsia="Times New Roman" w:hAnsiTheme="minorHAnsi"/>
          <w:color w:val="222222"/>
          <w:szCs w:val="24"/>
          <w:lang w:eastAsia="en-CA"/>
        </w:rPr>
        <w:t xml:space="preserve">Coverage for non-municipal drinking water systems in the Clean Water Act is absolutely necessary. The legislation already exists to do so: it just needs to be activated. There has been some indication by the Ontario government, in responding to submissions from the Canadian Environmental Law Association, Federation of Ontario Cottagers’ Associations, and others, that adequate tools exist outside of the Clean Water Act. This is not true. </w:t>
      </w:r>
    </w:p>
    <w:p w14:paraId="1613241F" w14:textId="5DE2FDA0" w:rsidR="00C27DAC" w:rsidRPr="00C27DAC" w:rsidRDefault="00C27DAC" w:rsidP="00C27DAC">
      <w:pPr>
        <w:shd w:val="clear" w:color="auto" w:fill="FFFFFF"/>
        <w:spacing w:after="120"/>
        <w:rPr>
          <w:rFonts w:asciiTheme="minorHAnsi" w:eastAsia="Times New Roman" w:hAnsiTheme="minorHAnsi"/>
          <w:color w:val="222222"/>
          <w:szCs w:val="24"/>
          <w:lang w:eastAsia="en-CA"/>
        </w:rPr>
      </w:pPr>
      <w:r w:rsidRPr="00C27DAC">
        <w:rPr>
          <w:rFonts w:asciiTheme="minorHAnsi" w:eastAsia="Times New Roman" w:hAnsiTheme="minorHAnsi"/>
          <w:color w:val="222222"/>
          <w:szCs w:val="24"/>
          <w:lang w:eastAsia="en-CA"/>
        </w:rPr>
        <w:lastRenderedPageBreak/>
        <w:t>Municipalities do not have sufficient tools under the Planning Act to regulate land uses that may adversely affect groundwater resources; the Planning Act may be useful for addressing proposed changes to land use but is of limited value when current land uses pose threats to source water protection. </w:t>
      </w:r>
    </w:p>
    <w:p w14:paraId="775D6C49" w14:textId="77777777" w:rsidR="00C27DAC" w:rsidRPr="00C27DAC" w:rsidRDefault="00C27DAC" w:rsidP="00C27DAC">
      <w:pPr>
        <w:shd w:val="clear" w:color="auto" w:fill="FFFFFF"/>
        <w:spacing w:after="120"/>
        <w:rPr>
          <w:rFonts w:asciiTheme="minorHAnsi" w:eastAsia="Times New Roman" w:hAnsiTheme="minorHAnsi"/>
          <w:color w:val="222222"/>
          <w:szCs w:val="24"/>
          <w:lang w:eastAsia="en-CA"/>
        </w:rPr>
      </w:pPr>
      <w:r w:rsidRPr="00C27DAC">
        <w:rPr>
          <w:rFonts w:asciiTheme="minorHAnsi" w:eastAsia="Times New Roman" w:hAnsiTheme="minorHAnsi"/>
          <w:color w:val="222222"/>
          <w:szCs w:val="24"/>
          <w:lang w:eastAsia="en-CA"/>
        </w:rPr>
        <w:t>Additionally, sustained investment is necessary for both extending and implementing source protection planning under the Clean Water Act to fill the three policy gaps identified and for implementing existing source protection plans. Earlier stages of implementing a multi-barrier framework for Ontario drinking water protection relied on adequate technical funding that preceded adoption of the specific source protection plans. This same approach is critical to ensuring protection for the rest of Ontario. It will be necessary to adapt to changes including emerging risks, threats, and other pressures, particularly as the population increases and we continue to face the twin crises of biodiversity loss and climate change.</w:t>
      </w:r>
    </w:p>
    <w:p w14:paraId="5610211B" w14:textId="77777777" w:rsidR="00C27DAC" w:rsidRPr="00C27DAC" w:rsidRDefault="00C27DAC" w:rsidP="00C27DAC">
      <w:pPr>
        <w:shd w:val="clear" w:color="auto" w:fill="FFFFFF"/>
        <w:spacing w:after="120"/>
        <w:rPr>
          <w:rFonts w:asciiTheme="minorHAnsi" w:eastAsia="Times New Roman" w:hAnsiTheme="minorHAnsi"/>
          <w:color w:val="222222"/>
          <w:szCs w:val="24"/>
          <w:lang w:eastAsia="en-CA"/>
        </w:rPr>
      </w:pPr>
      <w:r w:rsidRPr="00C27DAC">
        <w:rPr>
          <w:rFonts w:asciiTheme="minorHAnsi" w:eastAsia="Times New Roman" w:hAnsiTheme="minorHAnsi"/>
          <w:color w:val="222222"/>
          <w:szCs w:val="24"/>
          <w:lang w:eastAsia="en-CA"/>
        </w:rPr>
        <w:t>Extending the protective coverage of the Clean Water Act beyond only the currently covered municipal drinking systems is long overdue. If this is done in an appropriate and timely manner, and if it is properly funded, then enhanced source protection efforts will be instrumental in ensuring public health, safeguarding waters, and saving costs in the long-term.</w:t>
      </w:r>
    </w:p>
    <w:p w14:paraId="43D2FAED" w14:textId="77777777" w:rsidR="00C27DAC" w:rsidRPr="00C27DAC" w:rsidRDefault="00C27DAC" w:rsidP="00C27DAC">
      <w:pPr>
        <w:shd w:val="clear" w:color="auto" w:fill="FFFFFF"/>
        <w:spacing w:after="120"/>
        <w:rPr>
          <w:rFonts w:asciiTheme="minorHAnsi" w:eastAsia="Times New Roman" w:hAnsiTheme="minorHAnsi"/>
          <w:color w:val="222222"/>
          <w:szCs w:val="24"/>
          <w:lang w:eastAsia="en-CA"/>
        </w:rPr>
      </w:pPr>
      <w:r w:rsidRPr="00C27DAC">
        <w:rPr>
          <w:rFonts w:asciiTheme="minorHAnsi" w:eastAsia="Times New Roman" w:hAnsiTheme="minorHAnsi"/>
          <w:i/>
          <w:iCs/>
          <w:color w:val="222222"/>
          <w:szCs w:val="24"/>
          <w:lang w:eastAsia="en-CA"/>
        </w:rPr>
        <w:t>Terry Rees is the executive director of the Federation of Ontario Cottagers’ Association and member of the Trent Conservation Coalition Source Protection Committee.</w:t>
      </w:r>
    </w:p>
    <w:p w14:paraId="0FF12214" w14:textId="77777777" w:rsidR="00C27DAC" w:rsidRPr="00C27DAC" w:rsidRDefault="00C27DAC" w:rsidP="00C27DAC">
      <w:pPr>
        <w:shd w:val="clear" w:color="auto" w:fill="FFFFFF"/>
        <w:spacing w:after="120"/>
        <w:rPr>
          <w:rFonts w:asciiTheme="minorHAnsi" w:eastAsia="Times New Roman" w:hAnsiTheme="minorHAnsi"/>
          <w:color w:val="222222"/>
          <w:szCs w:val="24"/>
          <w:lang w:eastAsia="en-CA"/>
        </w:rPr>
      </w:pPr>
      <w:r w:rsidRPr="00C27DAC">
        <w:rPr>
          <w:rFonts w:asciiTheme="minorHAnsi" w:eastAsia="Times New Roman" w:hAnsiTheme="minorHAnsi"/>
          <w:i/>
          <w:iCs/>
          <w:color w:val="222222"/>
          <w:szCs w:val="24"/>
          <w:lang w:eastAsia="en-CA"/>
        </w:rPr>
        <w:t>Theresa McClenaghan is the executive director of the Canadian Environmental Law Association and Counsel during the Walkerton Inquiry.</w:t>
      </w:r>
    </w:p>
    <w:p w14:paraId="155D3EBD" w14:textId="77777777" w:rsidR="00C73ED4" w:rsidRPr="00C27DAC" w:rsidRDefault="00C73ED4" w:rsidP="00C27DAC">
      <w:pPr>
        <w:spacing w:after="120"/>
        <w:rPr>
          <w:rFonts w:asciiTheme="minorHAnsi" w:hAnsiTheme="minorHAnsi"/>
          <w:szCs w:val="24"/>
        </w:rPr>
      </w:pPr>
    </w:p>
    <w:sectPr w:rsidR="00C73ED4" w:rsidRPr="00C27DAC" w:rsidSect="00C27DAC">
      <w:footerReference w:type="default" r:id="rId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5CD49" w14:textId="77777777" w:rsidR="00A01C5A" w:rsidRDefault="00A01C5A" w:rsidP="00C27DAC">
      <w:r>
        <w:separator/>
      </w:r>
    </w:p>
  </w:endnote>
  <w:endnote w:type="continuationSeparator" w:id="0">
    <w:p w14:paraId="72AD6D52" w14:textId="77777777" w:rsidR="00A01C5A" w:rsidRDefault="00A01C5A" w:rsidP="00C27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163972"/>
      <w:docPartObj>
        <w:docPartGallery w:val="Page Numbers (Bottom of Page)"/>
        <w:docPartUnique/>
      </w:docPartObj>
    </w:sdtPr>
    <w:sdtEndPr>
      <w:rPr>
        <w:noProof/>
      </w:rPr>
    </w:sdtEndPr>
    <w:sdtContent>
      <w:p w14:paraId="502FF00F" w14:textId="18F1F87A" w:rsidR="00C27DAC" w:rsidRDefault="00C27D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830825" w14:textId="77777777" w:rsidR="00C27DAC" w:rsidRDefault="00C27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E6BEB" w14:textId="77777777" w:rsidR="00A01C5A" w:rsidRDefault="00A01C5A" w:rsidP="00C27DAC">
      <w:r>
        <w:separator/>
      </w:r>
    </w:p>
  </w:footnote>
  <w:footnote w:type="continuationSeparator" w:id="0">
    <w:p w14:paraId="0AADCEB0" w14:textId="77777777" w:rsidR="00A01C5A" w:rsidRDefault="00A01C5A" w:rsidP="00C27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5150D"/>
    <w:multiLevelType w:val="multilevel"/>
    <w:tmpl w:val="A9F24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AC"/>
    <w:rsid w:val="00222D02"/>
    <w:rsid w:val="006C3940"/>
    <w:rsid w:val="00A01C5A"/>
    <w:rsid w:val="00C27DAC"/>
    <w:rsid w:val="00C73ED4"/>
    <w:rsid w:val="00C83752"/>
    <w:rsid w:val="00D51E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4FEF"/>
  <w15:chartTrackingRefBased/>
  <w15:docId w15:val="{2EDE835D-C3B1-4E66-83CE-BE2A725A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DAC"/>
    <w:pPr>
      <w:tabs>
        <w:tab w:val="center" w:pos="4680"/>
        <w:tab w:val="right" w:pos="9360"/>
      </w:tabs>
    </w:pPr>
  </w:style>
  <w:style w:type="character" w:customStyle="1" w:styleId="HeaderChar">
    <w:name w:val="Header Char"/>
    <w:basedOn w:val="DefaultParagraphFont"/>
    <w:link w:val="Header"/>
    <w:uiPriority w:val="99"/>
    <w:rsid w:val="00C27DAC"/>
  </w:style>
  <w:style w:type="paragraph" w:styleId="Footer">
    <w:name w:val="footer"/>
    <w:basedOn w:val="Normal"/>
    <w:link w:val="FooterChar"/>
    <w:uiPriority w:val="99"/>
    <w:unhideWhenUsed/>
    <w:rsid w:val="00C27DAC"/>
    <w:pPr>
      <w:tabs>
        <w:tab w:val="center" w:pos="4680"/>
        <w:tab w:val="right" w:pos="9360"/>
      </w:tabs>
    </w:pPr>
  </w:style>
  <w:style w:type="character" w:customStyle="1" w:styleId="FooterChar">
    <w:name w:val="Footer Char"/>
    <w:basedOn w:val="DefaultParagraphFont"/>
    <w:link w:val="Footer"/>
    <w:uiPriority w:val="99"/>
    <w:rsid w:val="00C27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571061">
      <w:bodyDiv w:val="1"/>
      <w:marLeft w:val="0"/>
      <w:marRight w:val="0"/>
      <w:marTop w:val="0"/>
      <w:marBottom w:val="0"/>
      <w:divBdr>
        <w:top w:val="none" w:sz="0" w:space="0" w:color="auto"/>
        <w:left w:val="none" w:sz="0" w:space="0" w:color="auto"/>
        <w:bottom w:val="none" w:sz="0" w:space="0" w:color="auto"/>
        <w:right w:val="none" w:sz="0" w:space="0" w:color="auto"/>
      </w:divBdr>
      <w:divsChild>
        <w:div w:id="199826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statute/06c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chives.gov.on.ca/en/e_records/walkerton/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ontario.ca/laws/statute/02s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1450</Words>
  <Characters>8267</Characters>
  <Application>Microsoft Office Word</Application>
  <DocSecurity>0</DocSecurity>
  <Lines>68</Lines>
  <Paragraphs>19</Paragraphs>
  <ScaleCrop>false</ScaleCrop>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Kindersley</dc:creator>
  <cp:keywords/>
  <dc:description/>
  <cp:lastModifiedBy>William Andras</cp:lastModifiedBy>
  <cp:revision>2</cp:revision>
  <dcterms:created xsi:type="dcterms:W3CDTF">2022-02-15T14:24:00Z</dcterms:created>
  <dcterms:modified xsi:type="dcterms:W3CDTF">2022-02-15T14:24:00Z</dcterms:modified>
</cp:coreProperties>
</file>